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1A" w:rsidRPr="00AB5D69" w:rsidRDefault="00E64E1A" w:rsidP="00E64E1A">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AB5D69">
        <w:rPr>
          <w:rFonts w:ascii="Arial" w:hAnsi="Arial" w:cs="Arial"/>
          <w:bCs/>
          <w:spacing w:val="-3"/>
          <w:sz w:val="22"/>
          <w:szCs w:val="22"/>
        </w:rPr>
        <w:t xml:space="preserve">On 1 October 2008, the Queensland Law Reform Commission (QLRC) Report, </w:t>
      </w:r>
      <w:r w:rsidRPr="00AB5D69">
        <w:rPr>
          <w:rFonts w:ascii="Arial" w:hAnsi="Arial" w:cs="Arial"/>
          <w:bCs/>
          <w:i/>
          <w:spacing w:val="-3"/>
          <w:sz w:val="22"/>
          <w:szCs w:val="22"/>
        </w:rPr>
        <w:t>The Excuse of Accident and the Defence of Provocation</w:t>
      </w:r>
      <w:r w:rsidRPr="00AB5D69">
        <w:rPr>
          <w:rFonts w:ascii="Arial" w:hAnsi="Arial" w:cs="Arial"/>
          <w:bCs/>
          <w:spacing w:val="-3"/>
          <w:sz w:val="22"/>
          <w:szCs w:val="22"/>
        </w:rPr>
        <w:t xml:space="preserve"> (the QLRC Report) was tabled in Parliament. </w:t>
      </w:r>
    </w:p>
    <w:p w:rsidR="00E64E1A" w:rsidRPr="00AB5D69" w:rsidRDefault="00E64E1A" w:rsidP="00E64E1A">
      <w:pPr>
        <w:numPr>
          <w:ilvl w:val="0"/>
          <w:numId w:val="6"/>
        </w:numPr>
        <w:tabs>
          <w:tab w:val="clear" w:pos="720"/>
          <w:tab w:val="num" w:pos="360"/>
        </w:tabs>
        <w:spacing w:before="240"/>
        <w:ind w:left="360"/>
        <w:jc w:val="both"/>
        <w:rPr>
          <w:rFonts w:ascii="Arial" w:hAnsi="Arial" w:cs="Arial"/>
          <w:sz w:val="22"/>
          <w:szCs w:val="22"/>
        </w:rPr>
      </w:pPr>
      <w:r w:rsidRPr="00AB5D69">
        <w:rPr>
          <w:rFonts w:ascii="Arial" w:hAnsi="Arial" w:cs="Arial"/>
          <w:bCs/>
          <w:spacing w:val="-3"/>
          <w:sz w:val="22"/>
          <w:szCs w:val="22"/>
        </w:rPr>
        <w:t xml:space="preserve">The QLRC’s report made a number of recommendations regarding accident and provocation, but also </w:t>
      </w:r>
      <w:r w:rsidRPr="00AB5D69">
        <w:rPr>
          <w:rFonts w:ascii="Arial" w:hAnsi="Arial" w:cs="Arial"/>
          <w:sz w:val="22"/>
          <w:szCs w:val="22"/>
        </w:rPr>
        <w:t xml:space="preserve">made note of the difficulties sometimes encountered by battered spouses who kill their abusers to rely on existing defences. In this </w:t>
      </w:r>
      <w:r w:rsidRPr="00404002">
        <w:rPr>
          <w:rFonts w:ascii="Arial" w:hAnsi="Arial" w:cs="Arial"/>
          <w:sz w:val="22"/>
          <w:szCs w:val="22"/>
        </w:rPr>
        <w:t>respect</w:t>
      </w:r>
      <w:r w:rsidR="000F40C2" w:rsidRPr="00404002">
        <w:rPr>
          <w:rFonts w:ascii="Arial" w:hAnsi="Arial" w:cs="Arial"/>
          <w:sz w:val="22"/>
          <w:szCs w:val="22"/>
        </w:rPr>
        <w:t>,</w:t>
      </w:r>
      <w:r w:rsidRPr="00AB5D69">
        <w:rPr>
          <w:rFonts w:ascii="Arial" w:hAnsi="Arial" w:cs="Arial"/>
          <w:sz w:val="22"/>
          <w:szCs w:val="22"/>
        </w:rPr>
        <w:t xml:space="preserve"> the Commission recommended that consideration be given to the development of a separate defence for battered persons, which reflects the best current knowledge about the effects of a seriously abusive relationship. </w:t>
      </w:r>
    </w:p>
    <w:p w:rsidR="00E64E1A" w:rsidRPr="00AB5D69" w:rsidRDefault="00E64E1A" w:rsidP="00E64E1A">
      <w:pPr>
        <w:numPr>
          <w:ilvl w:val="0"/>
          <w:numId w:val="6"/>
        </w:numPr>
        <w:tabs>
          <w:tab w:val="clear" w:pos="720"/>
          <w:tab w:val="num" w:pos="360"/>
        </w:tabs>
        <w:spacing w:before="240"/>
        <w:ind w:left="360"/>
        <w:jc w:val="both"/>
        <w:rPr>
          <w:rFonts w:ascii="Arial" w:hAnsi="Arial" w:cs="Arial"/>
          <w:sz w:val="22"/>
          <w:szCs w:val="22"/>
        </w:rPr>
      </w:pPr>
      <w:r w:rsidRPr="00AB5D69">
        <w:rPr>
          <w:rFonts w:ascii="Arial" w:hAnsi="Arial" w:cs="Arial"/>
          <w:sz w:val="22"/>
          <w:szCs w:val="22"/>
        </w:rPr>
        <w:t>As a result of this recommendation</w:t>
      </w:r>
      <w:r w:rsidR="000F40C2" w:rsidRPr="00404002">
        <w:rPr>
          <w:rFonts w:ascii="Arial" w:hAnsi="Arial" w:cs="Arial"/>
          <w:sz w:val="22"/>
          <w:szCs w:val="22"/>
        </w:rPr>
        <w:t>,</w:t>
      </w:r>
      <w:r w:rsidRPr="00AB5D69">
        <w:rPr>
          <w:rFonts w:ascii="Arial" w:hAnsi="Arial" w:cs="Arial"/>
          <w:sz w:val="22"/>
          <w:szCs w:val="22"/>
        </w:rPr>
        <w:t xml:space="preserve"> Professors Eric Colvin and Geraldine Mackenzie of </w:t>
      </w:r>
      <w:smartTag w:uri="urn:schemas-microsoft-com:office:smarttags" w:element="place">
        <w:smartTag w:uri="urn:schemas-microsoft-com:office:smarttags" w:element="country-region">
          <w:r w:rsidRPr="00AB5D69">
            <w:rPr>
              <w:rFonts w:ascii="Arial" w:hAnsi="Arial" w:cs="Arial"/>
              <w:sz w:val="22"/>
              <w:szCs w:val="22"/>
            </w:rPr>
            <w:t>Bond</w:t>
          </w:r>
        </w:smartTag>
        <w:r w:rsidRPr="00AB5D69">
          <w:rPr>
            <w:rFonts w:ascii="Arial" w:hAnsi="Arial" w:cs="Arial"/>
            <w:sz w:val="22"/>
            <w:szCs w:val="22"/>
          </w:rPr>
          <w:t xml:space="preserve"> </w:t>
        </w:r>
        <w:smartTag w:uri="urn:schemas-microsoft-com:office:smarttags" w:element="country-region">
          <w:r w:rsidRPr="00AB5D69">
            <w:rPr>
              <w:rFonts w:ascii="Arial" w:hAnsi="Arial" w:cs="Arial"/>
              <w:sz w:val="22"/>
              <w:szCs w:val="22"/>
            </w:rPr>
            <w:t>University</w:t>
          </w:r>
        </w:smartTag>
      </w:smartTag>
      <w:r w:rsidRPr="00AB5D69">
        <w:rPr>
          <w:rFonts w:ascii="Arial" w:hAnsi="Arial" w:cs="Arial"/>
          <w:sz w:val="22"/>
          <w:szCs w:val="22"/>
        </w:rPr>
        <w:t xml:space="preserve"> were engaged by the Attorney-General to examine the development of a new defence for battered persons. Their analysis included the formulating of a Discussion Paper which was broadly distributed for comment.</w:t>
      </w:r>
    </w:p>
    <w:p w:rsidR="005B15BE" w:rsidRPr="005B15BE" w:rsidRDefault="00E64E1A" w:rsidP="00E64E1A">
      <w:pPr>
        <w:numPr>
          <w:ilvl w:val="0"/>
          <w:numId w:val="6"/>
        </w:numPr>
        <w:tabs>
          <w:tab w:val="clear" w:pos="720"/>
          <w:tab w:val="num" w:pos="360"/>
        </w:tabs>
        <w:spacing w:before="240"/>
        <w:ind w:left="360"/>
        <w:jc w:val="both"/>
        <w:rPr>
          <w:rFonts w:ascii="Arial" w:hAnsi="Arial" w:cs="Arial"/>
          <w:sz w:val="22"/>
          <w:szCs w:val="22"/>
        </w:rPr>
      </w:pPr>
      <w:r w:rsidRPr="00AB5D69">
        <w:rPr>
          <w:rFonts w:ascii="Arial" w:hAnsi="Arial" w:cs="Arial"/>
          <w:bCs/>
          <w:spacing w:val="-3"/>
          <w:sz w:val="22"/>
          <w:szCs w:val="22"/>
        </w:rPr>
        <w:t>The Professors’ final report was provided to the Attorney</w:t>
      </w:r>
      <w:r w:rsidR="0007097A">
        <w:rPr>
          <w:rFonts w:ascii="Arial" w:hAnsi="Arial" w:cs="Arial"/>
          <w:bCs/>
          <w:spacing w:val="-3"/>
          <w:sz w:val="22"/>
          <w:szCs w:val="22"/>
        </w:rPr>
        <w:t>-</w:t>
      </w:r>
      <w:r w:rsidRPr="00AB5D69">
        <w:rPr>
          <w:rFonts w:ascii="Arial" w:hAnsi="Arial" w:cs="Arial"/>
          <w:bCs/>
          <w:spacing w:val="-3"/>
          <w:sz w:val="22"/>
          <w:szCs w:val="22"/>
        </w:rPr>
        <w:t xml:space="preserve">General and Minister for Industrial Relations on 7 July 2009 and recommends the introduction of a new partial defence (reducing murder to manslaughter) applicable to victims of seriously abusive domestic relationships who kill their abusers. </w:t>
      </w:r>
      <w:r w:rsidR="00BB083A">
        <w:rPr>
          <w:rFonts w:ascii="Arial" w:hAnsi="Arial" w:cs="Arial"/>
          <w:bCs/>
          <w:noProof/>
          <w:spacing w:val="-3"/>
          <w:sz w:val="22"/>
          <w:szCs w:val="22"/>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-6729095</wp:posOffset>
                </wp:positionV>
                <wp:extent cx="1600200" cy="34290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0C2" w:rsidRPr="00322CC1" w:rsidRDefault="000F40C2" w:rsidP="00E64E1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pt;margin-top:-529.85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pAfg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" stroked="f">
                <v:textbox>
                  <w:txbxContent>
                    <w:p w:rsidR="000F40C2" w:rsidRPr="00322CC1" w:rsidRDefault="000F40C2" w:rsidP="00E64E1A">
                      <w:pPr>
                        <w:jc w:val="center"/>
                        <w:rPr>
                          <w:b/>
                        </w:rPr>
                      </w:pPr>
                    </w:p>
                  </w:txbxContent>
                </v:textbox>
              </v:shape>
            </w:pict>
          </mc:Fallback>
        </mc:AlternateContent>
      </w:r>
      <w:r w:rsidRPr="00AB5D69">
        <w:rPr>
          <w:rFonts w:ascii="Arial" w:hAnsi="Arial" w:cs="Arial"/>
          <w:bCs/>
          <w:spacing w:val="-3"/>
          <w:sz w:val="22"/>
          <w:szCs w:val="22"/>
        </w:rPr>
        <w:t xml:space="preserve"> </w:t>
      </w:r>
    </w:p>
    <w:p w:rsidR="00E64E1A" w:rsidRPr="00AB5D69" w:rsidRDefault="005B15BE" w:rsidP="00E64E1A">
      <w:pPr>
        <w:numPr>
          <w:ilvl w:val="0"/>
          <w:numId w:val="6"/>
        </w:numPr>
        <w:tabs>
          <w:tab w:val="clear" w:pos="720"/>
          <w:tab w:val="num" w:pos="360"/>
        </w:tabs>
        <w:spacing w:before="240"/>
        <w:ind w:left="360"/>
        <w:jc w:val="both"/>
        <w:rPr>
          <w:rFonts w:ascii="Arial" w:hAnsi="Arial" w:cs="Arial"/>
          <w:sz w:val="22"/>
          <w:szCs w:val="22"/>
        </w:rPr>
      </w:pPr>
      <w:r>
        <w:rPr>
          <w:rFonts w:ascii="Arial" w:hAnsi="Arial" w:cs="Arial"/>
          <w:bCs/>
          <w:spacing w:val="-3"/>
          <w:sz w:val="22"/>
          <w:szCs w:val="22"/>
        </w:rPr>
        <w:t>Reflecting the Government supported recommendations from the final report, t</w:t>
      </w:r>
      <w:r w:rsidR="00E64E1A" w:rsidRPr="00AB5D69">
        <w:rPr>
          <w:rFonts w:ascii="Arial" w:hAnsi="Arial" w:cs="Arial"/>
          <w:bCs/>
          <w:spacing w:val="-3"/>
          <w:sz w:val="22"/>
          <w:szCs w:val="22"/>
        </w:rPr>
        <w:t xml:space="preserve">he </w:t>
      </w:r>
      <w:r w:rsidR="0047113D">
        <w:rPr>
          <w:rFonts w:ascii="Arial" w:hAnsi="Arial" w:cs="Arial"/>
          <w:bCs/>
          <w:spacing w:val="-3"/>
          <w:sz w:val="22"/>
          <w:szCs w:val="22"/>
        </w:rPr>
        <w:t>Criminal Code (Abusive Domestic Relationship Defence and Another Matter) Amendment Bill 2009</w:t>
      </w:r>
      <w:r w:rsidR="00E64E1A" w:rsidRPr="00AB5D69">
        <w:rPr>
          <w:rFonts w:ascii="Arial" w:hAnsi="Arial" w:cs="Arial"/>
          <w:bCs/>
          <w:spacing w:val="-3"/>
          <w:sz w:val="22"/>
          <w:szCs w:val="22"/>
        </w:rPr>
        <w:t xml:space="preserve"> </w:t>
      </w:r>
      <w:r w:rsidR="00E64E1A" w:rsidRPr="00AB5D69">
        <w:rPr>
          <w:rFonts w:ascii="Arial" w:hAnsi="Arial" w:cs="Arial"/>
          <w:sz w:val="22"/>
          <w:szCs w:val="22"/>
        </w:rPr>
        <w:t>introduce</w:t>
      </w:r>
      <w:r w:rsidR="003805DB">
        <w:rPr>
          <w:rFonts w:ascii="Arial" w:hAnsi="Arial" w:cs="Arial"/>
          <w:sz w:val="22"/>
          <w:szCs w:val="22"/>
        </w:rPr>
        <w:t>s</w:t>
      </w:r>
      <w:r w:rsidR="00E64E1A" w:rsidRPr="00AB5D69">
        <w:rPr>
          <w:rFonts w:ascii="Arial" w:hAnsi="Arial" w:cs="Arial"/>
          <w:sz w:val="22"/>
          <w:szCs w:val="22"/>
        </w:rPr>
        <w:t xml:space="preserve"> a new defence into the Criminal Code providing a balance between necessarily punishing those who would otherwise be guilty of murder, and providing some legal protections for victims of serious abuse. The defence will apply in cases where the accused has unlawfully killed a</w:t>
      </w:r>
      <w:r w:rsidR="0007097A">
        <w:rPr>
          <w:rFonts w:ascii="Arial" w:hAnsi="Arial" w:cs="Arial"/>
          <w:sz w:val="22"/>
          <w:szCs w:val="22"/>
        </w:rPr>
        <w:t xml:space="preserve"> person</w:t>
      </w:r>
      <w:r w:rsidR="00E64E1A" w:rsidRPr="00AB5D69">
        <w:rPr>
          <w:rFonts w:ascii="Arial" w:hAnsi="Arial" w:cs="Arial"/>
          <w:sz w:val="22"/>
          <w:szCs w:val="22"/>
        </w:rPr>
        <w:t xml:space="preserve"> in the following circumstances:</w:t>
      </w:r>
    </w:p>
    <w:p w:rsidR="00E64E1A" w:rsidRPr="00AB5D69" w:rsidRDefault="00E64E1A" w:rsidP="00E64E1A">
      <w:pPr>
        <w:rPr>
          <w:rFonts w:ascii="Arial" w:hAnsi="Arial" w:cs="Arial"/>
          <w:sz w:val="22"/>
          <w:szCs w:val="22"/>
        </w:rPr>
      </w:pPr>
    </w:p>
    <w:p w:rsidR="00E64E1A" w:rsidRPr="00AB5D69" w:rsidRDefault="00E64E1A" w:rsidP="00E64E1A">
      <w:pPr>
        <w:numPr>
          <w:ilvl w:val="0"/>
          <w:numId w:val="21"/>
        </w:numPr>
        <w:rPr>
          <w:rFonts w:ascii="Arial" w:hAnsi="Arial" w:cs="Arial"/>
          <w:sz w:val="22"/>
          <w:szCs w:val="22"/>
        </w:rPr>
      </w:pPr>
      <w:r w:rsidRPr="00AB5D69">
        <w:rPr>
          <w:rFonts w:ascii="Arial" w:hAnsi="Arial" w:cs="Arial"/>
          <w:sz w:val="22"/>
          <w:szCs w:val="22"/>
        </w:rPr>
        <w:t>The accused and the deceased were in an abusive domestic relationship;</w:t>
      </w:r>
    </w:p>
    <w:p w:rsidR="00E64E1A" w:rsidRPr="00AB5D69" w:rsidRDefault="00E64E1A" w:rsidP="00CE1A8A">
      <w:pPr>
        <w:numPr>
          <w:ilvl w:val="0"/>
          <w:numId w:val="21"/>
        </w:numPr>
        <w:jc w:val="both"/>
        <w:rPr>
          <w:rFonts w:ascii="Arial" w:hAnsi="Arial" w:cs="Arial"/>
          <w:sz w:val="22"/>
          <w:szCs w:val="22"/>
        </w:rPr>
      </w:pPr>
      <w:r w:rsidRPr="00AB5D69">
        <w:rPr>
          <w:rFonts w:ascii="Arial" w:hAnsi="Arial" w:cs="Arial"/>
          <w:sz w:val="22"/>
          <w:szCs w:val="22"/>
        </w:rPr>
        <w:t>the deceased committed acts of serious domestic violence against the accused in the course of that relationship;</w:t>
      </w:r>
    </w:p>
    <w:p w:rsidR="00E64E1A" w:rsidRPr="00AB5D69" w:rsidRDefault="00E64E1A" w:rsidP="00CE1A8A">
      <w:pPr>
        <w:numPr>
          <w:ilvl w:val="0"/>
          <w:numId w:val="21"/>
        </w:numPr>
        <w:jc w:val="both"/>
        <w:rPr>
          <w:rFonts w:ascii="Arial" w:hAnsi="Arial" w:cs="Arial"/>
          <w:sz w:val="22"/>
          <w:szCs w:val="22"/>
        </w:rPr>
      </w:pPr>
      <w:r w:rsidRPr="00AB5D69">
        <w:rPr>
          <w:rFonts w:ascii="Arial" w:hAnsi="Arial" w:cs="Arial"/>
          <w:sz w:val="22"/>
          <w:szCs w:val="22"/>
        </w:rPr>
        <w:t>at the time of the killing the accused believes the acts are necessary for his/her preservation from death or grievous bodily harm; and</w:t>
      </w:r>
    </w:p>
    <w:p w:rsidR="00AB5D69" w:rsidRPr="00AB5D69" w:rsidRDefault="00E64E1A" w:rsidP="00CE1A8A">
      <w:pPr>
        <w:numPr>
          <w:ilvl w:val="0"/>
          <w:numId w:val="21"/>
        </w:numPr>
        <w:tabs>
          <w:tab w:val="clear" w:pos="1060"/>
        </w:tabs>
        <w:jc w:val="both"/>
        <w:rPr>
          <w:rFonts w:ascii="Arial" w:hAnsi="Arial" w:cs="Arial"/>
          <w:spacing w:val="-3"/>
          <w:sz w:val="22"/>
          <w:szCs w:val="22"/>
        </w:rPr>
      </w:pPr>
      <w:r w:rsidRPr="00AB5D69">
        <w:rPr>
          <w:rFonts w:ascii="Arial" w:hAnsi="Arial" w:cs="Arial"/>
          <w:sz w:val="22"/>
          <w:szCs w:val="22"/>
        </w:rPr>
        <w:t>there are reasonable grounds for this belief, having regard to the abusive relationship and all the circumstances of the case.</w:t>
      </w:r>
    </w:p>
    <w:p w:rsidR="00AB5D69" w:rsidRPr="00AB5D69" w:rsidRDefault="00AB5D69" w:rsidP="00CE1A8A">
      <w:pPr>
        <w:ind w:left="720"/>
        <w:jc w:val="both"/>
        <w:rPr>
          <w:rFonts w:ascii="Arial" w:hAnsi="Arial" w:cs="Arial"/>
          <w:spacing w:val="-3"/>
          <w:sz w:val="22"/>
          <w:szCs w:val="22"/>
        </w:rPr>
      </w:pPr>
    </w:p>
    <w:p w:rsidR="00AB5D69" w:rsidRPr="00AB5D69" w:rsidRDefault="00AB5D69" w:rsidP="00CE1A8A">
      <w:pPr>
        <w:numPr>
          <w:ilvl w:val="0"/>
          <w:numId w:val="6"/>
        </w:numPr>
        <w:tabs>
          <w:tab w:val="clear" w:pos="720"/>
          <w:tab w:val="num" w:pos="0"/>
        </w:tabs>
        <w:ind w:left="360"/>
        <w:jc w:val="both"/>
        <w:rPr>
          <w:rFonts w:ascii="Arial" w:hAnsi="Arial" w:cs="Arial"/>
          <w:spacing w:val="-3"/>
          <w:sz w:val="22"/>
          <w:szCs w:val="22"/>
        </w:rPr>
      </w:pPr>
      <w:r w:rsidRPr="00AB5D69">
        <w:rPr>
          <w:rFonts w:ascii="Arial" w:hAnsi="Arial" w:cs="Arial"/>
          <w:sz w:val="22"/>
          <w:szCs w:val="22"/>
        </w:rPr>
        <w:t xml:space="preserve">The Bill also </w:t>
      </w:r>
      <w:r>
        <w:rPr>
          <w:rFonts w:ascii="Arial" w:hAnsi="Arial" w:cs="Arial"/>
          <w:sz w:val="22"/>
          <w:szCs w:val="22"/>
        </w:rPr>
        <w:t>introduce</w:t>
      </w:r>
      <w:r w:rsidR="003805DB">
        <w:rPr>
          <w:rFonts w:ascii="Arial" w:hAnsi="Arial" w:cs="Arial"/>
          <w:sz w:val="22"/>
          <w:szCs w:val="22"/>
        </w:rPr>
        <w:t>s</w:t>
      </w:r>
      <w:r>
        <w:rPr>
          <w:rFonts w:ascii="Arial" w:hAnsi="Arial" w:cs="Arial"/>
          <w:sz w:val="22"/>
          <w:szCs w:val="22"/>
        </w:rPr>
        <w:t xml:space="preserve"> a new offence to </w:t>
      </w:r>
      <w:r w:rsidRPr="00AB5D69">
        <w:rPr>
          <w:rFonts w:ascii="Arial" w:hAnsi="Arial" w:cs="Arial"/>
          <w:sz w:val="22"/>
          <w:szCs w:val="22"/>
        </w:rPr>
        <w:t>support the existing identity theft offence under the Criminal Code</w:t>
      </w:r>
      <w:r w:rsidR="005B15BE">
        <w:rPr>
          <w:rFonts w:ascii="Arial" w:hAnsi="Arial" w:cs="Arial"/>
          <w:sz w:val="22"/>
          <w:szCs w:val="22"/>
        </w:rPr>
        <w:t>. The new offence will make</w:t>
      </w:r>
      <w:r w:rsidRPr="00AB5D69">
        <w:rPr>
          <w:rFonts w:ascii="Arial" w:hAnsi="Arial" w:cs="Arial"/>
          <w:sz w:val="22"/>
          <w:szCs w:val="22"/>
        </w:rPr>
        <w:t xml:space="preserve"> it unlawful to</w:t>
      </w:r>
      <w:r w:rsidRPr="00AB5D69">
        <w:rPr>
          <w:rFonts w:ascii="Arial" w:hAnsi="Arial" w:cs="Arial"/>
          <w:spacing w:val="-3"/>
          <w:sz w:val="22"/>
          <w:szCs w:val="22"/>
        </w:rPr>
        <w:t xml:space="preserve"> possess equipment for the purpose of committing an offence of obtaining or dealing with identification information. </w:t>
      </w:r>
    </w:p>
    <w:p w:rsidR="0081615E" w:rsidRPr="00AB5D69" w:rsidRDefault="0081615E" w:rsidP="00CE1A8A">
      <w:pPr>
        <w:numPr>
          <w:ilvl w:val="0"/>
          <w:numId w:val="22"/>
        </w:numPr>
        <w:spacing w:before="240"/>
        <w:jc w:val="both"/>
        <w:rPr>
          <w:rFonts w:ascii="Arial" w:hAnsi="Arial" w:cs="Arial"/>
          <w:sz w:val="22"/>
          <w:szCs w:val="22"/>
        </w:rPr>
      </w:pPr>
      <w:r w:rsidRPr="00AB5D69">
        <w:rPr>
          <w:rFonts w:ascii="Arial" w:hAnsi="Arial" w:cs="Arial"/>
          <w:sz w:val="22"/>
          <w:szCs w:val="22"/>
          <w:u w:val="single"/>
        </w:rPr>
        <w:t>Cabinet approved</w:t>
      </w:r>
      <w:r w:rsidRPr="00AB5D69">
        <w:rPr>
          <w:rFonts w:ascii="Arial" w:hAnsi="Arial" w:cs="Arial"/>
          <w:sz w:val="22"/>
          <w:szCs w:val="22"/>
        </w:rPr>
        <w:t xml:space="preserve"> the introduction of the </w:t>
      </w:r>
      <w:r w:rsidR="0047113D">
        <w:rPr>
          <w:rFonts w:ascii="Arial" w:hAnsi="Arial" w:cs="Arial"/>
          <w:sz w:val="22"/>
          <w:szCs w:val="22"/>
        </w:rPr>
        <w:t>Criminal Code (Abusive Domestic Relationship Defence and Another Matter) Amendment Bill 2009</w:t>
      </w:r>
      <w:r w:rsidRPr="00AB5D69">
        <w:rPr>
          <w:rFonts w:ascii="Arial" w:hAnsi="Arial" w:cs="Arial"/>
          <w:sz w:val="22"/>
          <w:szCs w:val="22"/>
        </w:rPr>
        <w:t xml:space="preserve"> into the Legislative Assembly. </w:t>
      </w:r>
    </w:p>
    <w:p w:rsidR="00AB5D69" w:rsidRPr="00EE0A17" w:rsidRDefault="00EA00BF" w:rsidP="00CE1A8A">
      <w:pPr>
        <w:numPr>
          <w:ilvl w:val="0"/>
          <w:numId w:val="22"/>
        </w:numPr>
        <w:spacing w:before="240"/>
        <w:jc w:val="both"/>
        <w:rPr>
          <w:rFonts w:ascii="Arial" w:hAnsi="Arial" w:cs="Arial"/>
          <w:i/>
          <w:sz w:val="22"/>
          <w:szCs w:val="22"/>
        </w:rPr>
      </w:pPr>
      <w:r w:rsidRPr="00EE0A17">
        <w:rPr>
          <w:rFonts w:ascii="Arial" w:hAnsi="Arial" w:cs="Arial"/>
          <w:i/>
          <w:sz w:val="22"/>
          <w:szCs w:val="22"/>
        </w:rPr>
        <w:t>Attachments</w:t>
      </w:r>
      <w:r w:rsidR="001F04A4" w:rsidRPr="00EE0A17">
        <w:rPr>
          <w:rFonts w:ascii="Arial" w:hAnsi="Arial" w:cs="Arial"/>
          <w:i/>
          <w:sz w:val="22"/>
          <w:szCs w:val="22"/>
        </w:rPr>
        <w:t xml:space="preserve">: </w:t>
      </w:r>
    </w:p>
    <w:p w:rsidR="00AB5D69" w:rsidRPr="00AB5D69" w:rsidRDefault="00EB3651" w:rsidP="00CE1A8A">
      <w:pPr>
        <w:numPr>
          <w:ilvl w:val="1"/>
          <w:numId w:val="22"/>
        </w:numPr>
        <w:spacing w:before="240"/>
        <w:jc w:val="both"/>
        <w:rPr>
          <w:rFonts w:ascii="Arial" w:hAnsi="Arial" w:cs="Arial"/>
          <w:sz w:val="22"/>
          <w:szCs w:val="22"/>
        </w:rPr>
      </w:pPr>
      <w:hyperlink r:id="rId7" w:history="1">
        <w:r w:rsidR="0047113D" w:rsidRPr="00EE0A17">
          <w:rPr>
            <w:rStyle w:val="Hyperlink"/>
            <w:rFonts w:ascii="Arial" w:hAnsi="Arial" w:cs="Arial"/>
            <w:sz w:val="22"/>
            <w:szCs w:val="22"/>
          </w:rPr>
          <w:t>Criminal Code (Abusive Domestic Relationship Defence and Another Matter) Amendment Bill 2009</w:t>
        </w:r>
      </w:hyperlink>
    </w:p>
    <w:p w:rsidR="00C84982" w:rsidRPr="00AB5D69" w:rsidRDefault="00EB3651" w:rsidP="00AB5D69">
      <w:pPr>
        <w:numPr>
          <w:ilvl w:val="1"/>
          <w:numId w:val="22"/>
        </w:numPr>
        <w:spacing w:before="240"/>
        <w:jc w:val="both"/>
        <w:rPr>
          <w:rFonts w:ascii="Arial" w:hAnsi="Arial" w:cs="Arial"/>
          <w:sz w:val="22"/>
          <w:szCs w:val="22"/>
        </w:rPr>
      </w:pPr>
      <w:hyperlink r:id="rId8" w:history="1">
        <w:r w:rsidR="00AB5D69" w:rsidRPr="00EE0A17">
          <w:rPr>
            <w:rStyle w:val="Hyperlink"/>
            <w:rFonts w:ascii="Arial" w:hAnsi="Arial" w:cs="Arial"/>
            <w:sz w:val="22"/>
            <w:szCs w:val="22"/>
          </w:rPr>
          <w:t>E</w:t>
        </w:r>
        <w:r w:rsidR="00EC1A59" w:rsidRPr="00EE0A17">
          <w:rPr>
            <w:rStyle w:val="Hyperlink"/>
            <w:rFonts w:ascii="Arial" w:hAnsi="Arial" w:cs="Arial"/>
            <w:sz w:val="22"/>
            <w:szCs w:val="22"/>
          </w:rPr>
          <w:t>xplanatory Notes</w:t>
        </w:r>
      </w:hyperlink>
      <w:r w:rsidR="00EC1A59" w:rsidRPr="00AB5D69">
        <w:rPr>
          <w:rFonts w:ascii="Arial" w:hAnsi="Arial" w:cs="Arial"/>
          <w:sz w:val="22"/>
          <w:szCs w:val="22"/>
        </w:rPr>
        <w:t xml:space="preserve"> </w:t>
      </w:r>
    </w:p>
    <w:sectPr w:rsidR="00C84982" w:rsidRPr="00AB5D69"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1CB" w:rsidRDefault="005A61CB">
      <w:r>
        <w:separator/>
      </w:r>
    </w:p>
  </w:endnote>
  <w:endnote w:type="continuationSeparator" w:id="0">
    <w:p w:rsidR="005A61CB" w:rsidRDefault="005A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0C2" w:rsidRPr="001141E1" w:rsidRDefault="000F40C2"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1CB" w:rsidRDefault="005A61CB">
      <w:r>
        <w:separator/>
      </w:r>
    </w:p>
  </w:footnote>
  <w:footnote w:type="continuationSeparator" w:id="0">
    <w:p w:rsidR="005A61CB" w:rsidRDefault="005A6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0C2" w:rsidRPr="004036DA" w:rsidRDefault="000F40C2" w:rsidP="004036DA">
    <w:pPr>
      <w:pStyle w:val="Header"/>
      <w:ind w:firstLine="2880"/>
      <w:jc w:val="right"/>
      <w:rPr>
        <w:rFonts w:ascii="Arial" w:hAnsi="Arial" w:cs="Arial"/>
        <w:b/>
        <w:sz w:val="22"/>
        <w:szCs w:val="22"/>
      </w:rPr>
    </w:pPr>
  </w:p>
  <w:p w:rsidR="000F40C2" w:rsidRDefault="000F40C2" w:rsidP="007D3B9D">
    <w:pPr>
      <w:pStyle w:val="Header"/>
      <w:ind w:firstLine="2880"/>
      <w:rPr>
        <w:rFonts w:ascii="Arial" w:hAnsi="Arial" w:cs="Arial"/>
        <w:b/>
        <w:sz w:val="22"/>
        <w:szCs w:val="22"/>
        <w:u w:val="single"/>
      </w:rPr>
    </w:pPr>
  </w:p>
  <w:p w:rsidR="000F40C2" w:rsidRPr="000400F9" w:rsidRDefault="00BB083A"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F40C2" w:rsidRPr="000400F9">
      <w:rPr>
        <w:rFonts w:ascii="Arial" w:hAnsi="Arial" w:cs="Arial"/>
        <w:b/>
        <w:sz w:val="22"/>
        <w:szCs w:val="22"/>
        <w:u w:val="single"/>
      </w:rPr>
      <w:t>Cabinet –</w:t>
    </w:r>
    <w:r w:rsidR="000F40C2">
      <w:rPr>
        <w:rFonts w:ascii="Arial" w:hAnsi="Arial" w:cs="Arial"/>
        <w:b/>
        <w:sz w:val="22"/>
        <w:szCs w:val="22"/>
        <w:u w:val="single"/>
      </w:rPr>
      <w:t xml:space="preserve"> November 2009</w:t>
    </w:r>
  </w:p>
  <w:p w:rsidR="000F40C2" w:rsidRDefault="000F40C2" w:rsidP="000400F9">
    <w:pPr>
      <w:pStyle w:val="Header"/>
      <w:spacing w:before="120"/>
      <w:rPr>
        <w:rFonts w:ascii="Arial" w:hAnsi="Arial" w:cs="Arial"/>
        <w:b/>
        <w:sz w:val="22"/>
        <w:szCs w:val="22"/>
        <w:u w:val="single"/>
      </w:rPr>
    </w:pPr>
    <w:r>
      <w:rPr>
        <w:rFonts w:ascii="Arial" w:hAnsi="Arial" w:cs="Arial"/>
        <w:b/>
        <w:sz w:val="22"/>
        <w:szCs w:val="22"/>
        <w:u w:val="single"/>
      </w:rPr>
      <w:t>Criminal Code (Abusive Domestic Relationship Defence and Another Matter) Amendment Bill 2009</w:t>
    </w:r>
  </w:p>
  <w:p w:rsidR="000F40C2" w:rsidRDefault="000F40C2" w:rsidP="000400F9">
    <w:pPr>
      <w:pStyle w:val="Header"/>
      <w:spacing w:before="120"/>
      <w:rPr>
        <w:rFonts w:ascii="Arial" w:hAnsi="Arial" w:cs="Arial"/>
        <w:b/>
        <w:sz w:val="22"/>
        <w:szCs w:val="22"/>
        <w:u w:val="single"/>
      </w:rPr>
    </w:pPr>
    <w:r>
      <w:rPr>
        <w:rFonts w:ascii="Arial" w:hAnsi="Arial" w:cs="Arial"/>
        <w:b/>
        <w:sz w:val="22"/>
        <w:szCs w:val="22"/>
        <w:u w:val="single"/>
      </w:rPr>
      <w:t>Attorney-General and Minister for Industrial Relations</w:t>
    </w:r>
  </w:p>
  <w:p w:rsidR="000F40C2" w:rsidRDefault="000F40C2" w:rsidP="000400F9">
    <w:pPr>
      <w:pStyle w:val="Header"/>
      <w:spacing w:before="120"/>
      <w:rPr>
        <w:rFonts w:ascii="Arial" w:hAnsi="Arial" w:cs="Arial"/>
        <w:b/>
        <w:sz w:val="22"/>
        <w:szCs w:val="22"/>
        <w:u w:val="single"/>
      </w:rPr>
    </w:pPr>
  </w:p>
  <w:p w:rsidR="000F40C2" w:rsidRPr="00F10DF9" w:rsidRDefault="000F40C2"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4443822"/>
    <w:multiLevelType w:val="hybridMultilevel"/>
    <w:tmpl w:val="9866E7E0"/>
    <w:lvl w:ilvl="0" w:tplc="2572FF1C">
      <w:start w:val="1"/>
      <w:numFmt w:val="bullet"/>
      <w:lvlText w:val=""/>
      <w:lvlJc w:val="left"/>
      <w:pPr>
        <w:tabs>
          <w:tab w:val="num" w:pos="1060"/>
        </w:tabs>
        <w:ind w:left="1060" w:hanging="340"/>
      </w:pPr>
      <w:rPr>
        <w:rFonts w:ascii="Symbol" w:hAnsi="Symbol" w:hint="default"/>
      </w:rPr>
    </w:lvl>
    <w:lvl w:ilvl="1" w:tplc="0C09000F">
      <w:start w:val="1"/>
      <w:numFmt w:val="decimal"/>
      <w:lvlText w:val="%2."/>
      <w:lvlJc w:val="left"/>
      <w:pPr>
        <w:tabs>
          <w:tab w:val="num" w:pos="1366"/>
        </w:tabs>
        <w:ind w:left="1366" w:hanging="360"/>
      </w:pPr>
      <w:rPr>
        <w:rFonts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B005C28"/>
    <w:multiLevelType w:val="multilevel"/>
    <w:tmpl w:val="A5485B54"/>
    <w:lvl w:ilvl="0">
      <w:start w:val="1"/>
      <w:numFmt w:val="bullet"/>
      <w:lvlText w:val="o"/>
      <w:lvlJc w:val="left"/>
      <w:pPr>
        <w:tabs>
          <w:tab w:val="num" w:pos="720"/>
        </w:tabs>
        <w:ind w:left="720" w:hanging="360"/>
      </w:pPr>
      <w:rPr>
        <w:rFonts w:ascii="Courier New" w:hAnsi="Courier New" w:cs="Courier Ne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1E4432"/>
    <w:multiLevelType w:val="hybridMultilevel"/>
    <w:tmpl w:val="C734A5E8"/>
    <w:lvl w:ilvl="0" w:tplc="7CDC95DA">
      <w:start w:val="1"/>
      <w:numFmt w:val="decimal"/>
      <w:lvlText w:val="%1."/>
      <w:lvlJc w:val="left"/>
      <w:pPr>
        <w:tabs>
          <w:tab w:val="num" w:pos="284"/>
        </w:tabs>
        <w:ind w:left="284" w:hanging="28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E2006F5"/>
    <w:multiLevelType w:val="hybridMultilevel"/>
    <w:tmpl w:val="3BA6C1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EA92BC5"/>
    <w:multiLevelType w:val="multilevel"/>
    <w:tmpl w:val="AD8EB970"/>
    <w:lvl w:ilvl="0">
      <w:start w:val="1"/>
      <w:numFmt w:val="decimal"/>
      <w:pStyle w:val="clausenumber"/>
      <w:suff w:val="space"/>
      <w:lvlText w:val="Clause %1"/>
      <w:lvlJc w:val="left"/>
      <w:pPr>
        <w:ind w:left="0" w:firstLine="0"/>
      </w:pPr>
      <w:rPr>
        <w:rFonts w:ascii="Times New Roman" w:hAnsi="Times New Roman" w:hint="default"/>
        <w:b w:val="0"/>
        <w:i/>
        <w:sz w:val="24"/>
      </w:rPr>
    </w:lvl>
    <w:lvl w:ilvl="1">
      <w:start w:val="1"/>
      <w:numFmt w:val="lowerLetter"/>
      <w:lvlText w:val="%2)"/>
      <w:lvlJc w:val="left"/>
      <w:pPr>
        <w:tabs>
          <w:tab w:val="num" w:pos="737"/>
        </w:tabs>
        <w:ind w:left="737" w:hanging="360"/>
      </w:pPr>
      <w:rPr>
        <w:rFonts w:hint="default"/>
      </w:rPr>
    </w:lvl>
    <w:lvl w:ilvl="2">
      <w:start w:val="1"/>
      <w:numFmt w:val="lowerRoman"/>
      <w:lvlText w:val="%3)"/>
      <w:lvlJc w:val="left"/>
      <w:pPr>
        <w:tabs>
          <w:tab w:val="num" w:pos="1097"/>
        </w:tabs>
        <w:ind w:left="1097" w:hanging="360"/>
      </w:pPr>
      <w:rPr>
        <w:rFonts w:hint="default"/>
      </w:rPr>
    </w:lvl>
    <w:lvl w:ilvl="3">
      <w:start w:val="1"/>
      <w:numFmt w:val="decimal"/>
      <w:lvlText w:val="(%4)"/>
      <w:lvlJc w:val="left"/>
      <w:pPr>
        <w:tabs>
          <w:tab w:val="num" w:pos="1457"/>
        </w:tabs>
        <w:ind w:left="1457" w:hanging="360"/>
      </w:pPr>
      <w:rPr>
        <w:rFonts w:hint="default"/>
      </w:rPr>
    </w:lvl>
    <w:lvl w:ilvl="4">
      <w:start w:val="1"/>
      <w:numFmt w:val="lowerLetter"/>
      <w:lvlText w:val="(%5)"/>
      <w:lvlJc w:val="left"/>
      <w:pPr>
        <w:tabs>
          <w:tab w:val="num" w:pos="1817"/>
        </w:tabs>
        <w:ind w:left="1817" w:hanging="360"/>
      </w:pPr>
      <w:rPr>
        <w:rFonts w:hint="default"/>
      </w:rPr>
    </w:lvl>
    <w:lvl w:ilvl="5">
      <w:start w:val="1"/>
      <w:numFmt w:val="lowerRoman"/>
      <w:lvlText w:val="(%6)"/>
      <w:lvlJc w:val="left"/>
      <w:pPr>
        <w:tabs>
          <w:tab w:val="num" w:pos="2177"/>
        </w:tabs>
        <w:ind w:left="2177" w:hanging="360"/>
      </w:pPr>
      <w:rPr>
        <w:rFonts w:hint="default"/>
      </w:rPr>
    </w:lvl>
    <w:lvl w:ilvl="6">
      <w:start w:val="1"/>
      <w:numFmt w:val="decimal"/>
      <w:lvlText w:val="%7."/>
      <w:lvlJc w:val="left"/>
      <w:pPr>
        <w:tabs>
          <w:tab w:val="num" w:pos="2537"/>
        </w:tabs>
        <w:ind w:left="2537" w:hanging="360"/>
      </w:pPr>
      <w:rPr>
        <w:rFonts w:hint="default"/>
      </w:rPr>
    </w:lvl>
    <w:lvl w:ilvl="7">
      <w:start w:val="1"/>
      <w:numFmt w:val="lowerLetter"/>
      <w:lvlText w:val="%8."/>
      <w:lvlJc w:val="left"/>
      <w:pPr>
        <w:tabs>
          <w:tab w:val="num" w:pos="2897"/>
        </w:tabs>
        <w:ind w:left="2897" w:hanging="360"/>
      </w:pPr>
      <w:rPr>
        <w:rFonts w:hint="default"/>
      </w:rPr>
    </w:lvl>
    <w:lvl w:ilvl="8">
      <w:start w:val="1"/>
      <w:numFmt w:val="lowerRoman"/>
      <w:lvlText w:val="%9."/>
      <w:lvlJc w:val="left"/>
      <w:pPr>
        <w:tabs>
          <w:tab w:val="num" w:pos="3257"/>
        </w:tabs>
        <w:ind w:left="3257" w:hanging="360"/>
      </w:pPr>
      <w:rPr>
        <w:rFonts w:hint="default"/>
      </w:rPr>
    </w:lvl>
  </w:abstractNum>
  <w:abstractNum w:abstractNumId="8" w15:restartNumberingAfterBreak="0">
    <w:nsid w:val="4481405E"/>
    <w:multiLevelType w:val="hybridMultilevel"/>
    <w:tmpl w:val="C55282AC"/>
    <w:lvl w:ilvl="0" w:tplc="74CAE7CC">
      <w:start w:val="1"/>
      <w:numFmt w:val="bullet"/>
      <w:lvlText w:val=""/>
      <w:lvlJc w:val="left"/>
      <w:pPr>
        <w:tabs>
          <w:tab w:val="num" w:pos="720"/>
        </w:tabs>
        <w:ind w:left="720" w:hanging="360"/>
      </w:pPr>
      <w:rPr>
        <w:rFonts w:ascii="Symbol" w:hAnsi="Symbol"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5F81086"/>
    <w:multiLevelType w:val="hybridMultilevel"/>
    <w:tmpl w:val="3F66B2AA"/>
    <w:lvl w:ilvl="0" w:tplc="9DF2CB62">
      <w:start w:val="1"/>
      <w:numFmt w:val="bullet"/>
      <w:lvlText w:val=""/>
      <w:lvlJc w:val="left"/>
      <w:pPr>
        <w:tabs>
          <w:tab w:val="num" w:pos="624"/>
        </w:tabs>
        <w:ind w:left="62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6613B"/>
    <w:multiLevelType w:val="hybridMultilevel"/>
    <w:tmpl w:val="A5485B54"/>
    <w:lvl w:ilvl="0" w:tplc="0C090003">
      <w:start w:val="1"/>
      <w:numFmt w:val="bullet"/>
      <w:lvlText w:val="o"/>
      <w:lvlJc w:val="left"/>
      <w:pPr>
        <w:tabs>
          <w:tab w:val="num" w:pos="720"/>
        </w:tabs>
        <w:ind w:left="720" w:hanging="360"/>
      </w:pPr>
      <w:rPr>
        <w:rFonts w:ascii="Courier New" w:hAnsi="Courier New" w:cs="Courier New"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5D24CCD"/>
    <w:multiLevelType w:val="hybridMultilevel"/>
    <w:tmpl w:val="4232C458"/>
    <w:lvl w:ilvl="0" w:tplc="DF880D0A">
      <w:start w:val="1"/>
      <w:numFmt w:val="decimal"/>
      <w:lvlText w:val="%1."/>
      <w:lvlJc w:val="left"/>
      <w:pPr>
        <w:tabs>
          <w:tab w:val="num" w:pos="360"/>
        </w:tabs>
        <w:ind w:left="360" w:hanging="360"/>
      </w:pPr>
      <w:rPr>
        <w:rFonts w:hint="default"/>
        <w:b w:val="0"/>
        <w:i w:val="0"/>
      </w:rPr>
    </w:lvl>
    <w:lvl w:ilvl="1" w:tplc="E46E0016">
      <w:start w:val="1"/>
      <w:numFmt w:val="bullet"/>
      <w:lvlText w:val=""/>
      <w:lvlJc w:val="left"/>
      <w:pPr>
        <w:tabs>
          <w:tab w:val="num" w:pos="1080"/>
        </w:tabs>
        <w:ind w:left="1080" w:hanging="360"/>
      </w:pPr>
      <w:rPr>
        <w:rFonts w:ascii="Symbol" w:hAnsi="Symbol" w:hint="default"/>
        <w:sz w:val="24"/>
        <w:szCs w:val="24"/>
      </w:rPr>
    </w:lvl>
    <w:lvl w:ilvl="2" w:tplc="BC3CBA5E">
      <w:start w:val="1"/>
      <w:numFmt w:val="bullet"/>
      <w:lvlText w:val="­"/>
      <w:lvlJc w:val="left"/>
      <w:pPr>
        <w:tabs>
          <w:tab w:val="num" w:pos="1980"/>
        </w:tabs>
        <w:ind w:left="1980" w:hanging="360"/>
      </w:pPr>
      <w:rPr>
        <w:rFonts w:ascii="Courier New" w:hAnsi="Courier New"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770B3013"/>
    <w:multiLevelType w:val="hybridMultilevel"/>
    <w:tmpl w:val="27288AE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7427D55"/>
    <w:multiLevelType w:val="hybridMultilevel"/>
    <w:tmpl w:val="E79E3230"/>
    <w:lvl w:ilvl="0" w:tplc="B7A0238C">
      <w:start w:val="1"/>
      <w:numFmt w:val="bullet"/>
      <w:lvlText w:val=""/>
      <w:lvlJc w:val="left"/>
      <w:pPr>
        <w:tabs>
          <w:tab w:val="num" w:pos="454"/>
        </w:tabs>
        <w:ind w:left="454" w:hanging="454"/>
      </w:pPr>
      <w:rPr>
        <w:rFonts w:ascii="Symbol" w:hAnsi="Symbol" w:hint="default"/>
        <w:color w:val="auto"/>
        <w:sz w:val="23"/>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CE5218C"/>
    <w:multiLevelType w:val="hybridMultilevel"/>
    <w:tmpl w:val="AC2A7218"/>
    <w:lvl w:ilvl="0" w:tplc="2D2C4108">
      <w:start w:val="7"/>
      <w:numFmt w:val="decimal"/>
      <w:lvlText w:val="%1."/>
      <w:lvlJc w:val="left"/>
      <w:pPr>
        <w:tabs>
          <w:tab w:val="num" w:pos="360"/>
        </w:tabs>
        <w:ind w:left="360" w:hanging="360"/>
      </w:pPr>
      <w:rPr>
        <w:rFonts w:hint="default"/>
        <w:u w:val="none"/>
      </w:rPr>
    </w:lvl>
    <w:lvl w:ilvl="1" w:tplc="74CAE7CC">
      <w:start w:val="1"/>
      <w:numFmt w:val="bullet"/>
      <w:lvlText w:val=""/>
      <w:lvlJc w:val="left"/>
      <w:pPr>
        <w:tabs>
          <w:tab w:val="num" w:pos="1080"/>
        </w:tabs>
        <w:ind w:left="1080" w:hanging="360"/>
      </w:pPr>
      <w:rPr>
        <w:rFonts w:ascii="Symbol" w:hAnsi="Symbol" w:hint="default"/>
        <w:sz w:val="24"/>
        <w:szCs w:val="24"/>
        <w:u w:val="none"/>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18"/>
  </w:num>
  <w:num w:numId="4">
    <w:abstractNumId w:val="6"/>
  </w:num>
  <w:num w:numId="5">
    <w:abstractNumId w:val="2"/>
  </w:num>
  <w:num w:numId="6">
    <w:abstractNumId w:val="21"/>
  </w:num>
  <w:num w:numId="7">
    <w:abstractNumId w:val="20"/>
  </w:num>
  <w:num w:numId="8">
    <w:abstractNumId w:val="17"/>
  </w:num>
  <w:num w:numId="9">
    <w:abstractNumId w:val="14"/>
  </w:num>
  <w:num w:numId="10">
    <w:abstractNumId w:val="12"/>
  </w:num>
  <w:num w:numId="11">
    <w:abstractNumId w:val="10"/>
  </w:num>
  <w:num w:numId="12">
    <w:abstractNumId w:val="5"/>
  </w:num>
  <w:num w:numId="13">
    <w:abstractNumId w:val="9"/>
  </w:num>
  <w:num w:numId="14">
    <w:abstractNumId w:val="15"/>
  </w:num>
  <w:num w:numId="15">
    <w:abstractNumId w:val="16"/>
  </w:num>
  <w:num w:numId="16">
    <w:abstractNumId w:val="11"/>
  </w:num>
  <w:num w:numId="17">
    <w:abstractNumId w:val="3"/>
  </w:num>
  <w:num w:numId="18">
    <w:abstractNumId w:val="8"/>
  </w:num>
  <w:num w:numId="19">
    <w:abstractNumId w:val="7"/>
  </w:num>
  <w:num w:numId="20">
    <w:abstractNumId w:val="4"/>
  </w:num>
  <w:num w:numId="21">
    <w:abstractNumId w:val="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24873"/>
    <w:rsid w:val="000400F9"/>
    <w:rsid w:val="0007097A"/>
    <w:rsid w:val="000B041C"/>
    <w:rsid w:val="000B174F"/>
    <w:rsid w:val="000B545C"/>
    <w:rsid w:val="000F40C2"/>
    <w:rsid w:val="00110FF2"/>
    <w:rsid w:val="001141E1"/>
    <w:rsid w:val="00133013"/>
    <w:rsid w:val="00133A34"/>
    <w:rsid w:val="00160524"/>
    <w:rsid w:val="001A472F"/>
    <w:rsid w:val="001E2DA7"/>
    <w:rsid w:val="001F04A4"/>
    <w:rsid w:val="00206163"/>
    <w:rsid w:val="00231BBD"/>
    <w:rsid w:val="00254E35"/>
    <w:rsid w:val="0028053C"/>
    <w:rsid w:val="002D0F50"/>
    <w:rsid w:val="002F57E4"/>
    <w:rsid w:val="002F7273"/>
    <w:rsid w:val="00306492"/>
    <w:rsid w:val="00307342"/>
    <w:rsid w:val="00314FEB"/>
    <w:rsid w:val="0032048B"/>
    <w:rsid w:val="00343FF0"/>
    <w:rsid w:val="00346156"/>
    <w:rsid w:val="0036304B"/>
    <w:rsid w:val="003805DB"/>
    <w:rsid w:val="00382380"/>
    <w:rsid w:val="003A269C"/>
    <w:rsid w:val="003A2E0F"/>
    <w:rsid w:val="003C3732"/>
    <w:rsid w:val="003D3EC5"/>
    <w:rsid w:val="003D743D"/>
    <w:rsid w:val="003F228B"/>
    <w:rsid w:val="00400960"/>
    <w:rsid w:val="004036DA"/>
    <w:rsid w:val="00404002"/>
    <w:rsid w:val="00407F6B"/>
    <w:rsid w:val="00435BE5"/>
    <w:rsid w:val="0047113D"/>
    <w:rsid w:val="0048019C"/>
    <w:rsid w:val="00481458"/>
    <w:rsid w:val="00486A99"/>
    <w:rsid w:val="00490874"/>
    <w:rsid w:val="004A7FF3"/>
    <w:rsid w:val="004E6C38"/>
    <w:rsid w:val="00535980"/>
    <w:rsid w:val="005503FF"/>
    <w:rsid w:val="00562AE4"/>
    <w:rsid w:val="0056401D"/>
    <w:rsid w:val="005A17A9"/>
    <w:rsid w:val="005A61CB"/>
    <w:rsid w:val="005A7904"/>
    <w:rsid w:val="005B15BE"/>
    <w:rsid w:val="005B1D9B"/>
    <w:rsid w:val="005C224F"/>
    <w:rsid w:val="005F022B"/>
    <w:rsid w:val="006100CC"/>
    <w:rsid w:val="00635E67"/>
    <w:rsid w:val="00644076"/>
    <w:rsid w:val="006631CF"/>
    <w:rsid w:val="006645FF"/>
    <w:rsid w:val="00682036"/>
    <w:rsid w:val="006900FE"/>
    <w:rsid w:val="00692A58"/>
    <w:rsid w:val="006B3B54"/>
    <w:rsid w:val="006D0869"/>
    <w:rsid w:val="006E12FB"/>
    <w:rsid w:val="006E6713"/>
    <w:rsid w:val="006F0E9B"/>
    <w:rsid w:val="007060D7"/>
    <w:rsid w:val="00710AAE"/>
    <w:rsid w:val="00726F36"/>
    <w:rsid w:val="0076270E"/>
    <w:rsid w:val="007633A4"/>
    <w:rsid w:val="00796B3E"/>
    <w:rsid w:val="007A25F4"/>
    <w:rsid w:val="007A6599"/>
    <w:rsid w:val="007D3B9D"/>
    <w:rsid w:val="007F52D6"/>
    <w:rsid w:val="00800CBB"/>
    <w:rsid w:val="0081615E"/>
    <w:rsid w:val="0082040E"/>
    <w:rsid w:val="00824FCF"/>
    <w:rsid w:val="00845D3E"/>
    <w:rsid w:val="008A5246"/>
    <w:rsid w:val="008A5F1B"/>
    <w:rsid w:val="008B7E17"/>
    <w:rsid w:val="008C3732"/>
    <w:rsid w:val="008F44CD"/>
    <w:rsid w:val="00900D2D"/>
    <w:rsid w:val="00922A5B"/>
    <w:rsid w:val="0096618D"/>
    <w:rsid w:val="00981EF9"/>
    <w:rsid w:val="009D0C12"/>
    <w:rsid w:val="009F5476"/>
    <w:rsid w:val="00A1181B"/>
    <w:rsid w:val="00A140E0"/>
    <w:rsid w:val="00A20C0E"/>
    <w:rsid w:val="00A21DF8"/>
    <w:rsid w:val="00A265D2"/>
    <w:rsid w:val="00A272E8"/>
    <w:rsid w:val="00A30F55"/>
    <w:rsid w:val="00A32ADF"/>
    <w:rsid w:val="00A354FF"/>
    <w:rsid w:val="00A527A5"/>
    <w:rsid w:val="00A85CC2"/>
    <w:rsid w:val="00AA128C"/>
    <w:rsid w:val="00AB5D69"/>
    <w:rsid w:val="00AB6637"/>
    <w:rsid w:val="00AE1995"/>
    <w:rsid w:val="00B40BDF"/>
    <w:rsid w:val="00BB083A"/>
    <w:rsid w:val="00BD4B54"/>
    <w:rsid w:val="00C07656"/>
    <w:rsid w:val="00C10B24"/>
    <w:rsid w:val="00C64CED"/>
    <w:rsid w:val="00C750C1"/>
    <w:rsid w:val="00C805EC"/>
    <w:rsid w:val="00C84982"/>
    <w:rsid w:val="00C85B71"/>
    <w:rsid w:val="00C91588"/>
    <w:rsid w:val="00CC761F"/>
    <w:rsid w:val="00CE1A8A"/>
    <w:rsid w:val="00CE6FBA"/>
    <w:rsid w:val="00D05246"/>
    <w:rsid w:val="00D21D52"/>
    <w:rsid w:val="00D22410"/>
    <w:rsid w:val="00D54601"/>
    <w:rsid w:val="00DD3CD5"/>
    <w:rsid w:val="00DD497C"/>
    <w:rsid w:val="00DF4650"/>
    <w:rsid w:val="00E463C2"/>
    <w:rsid w:val="00E64E1A"/>
    <w:rsid w:val="00E73D61"/>
    <w:rsid w:val="00EA00BF"/>
    <w:rsid w:val="00EB3651"/>
    <w:rsid w:val="00EC1A59"/>
    <w:rsid w:val="00EE08A2"/>
    <w:rsid w:val="00EE0A17"/>
    <w:rsid w:val="00F10DF9"/>
    <w:rsid w:val="00F478C4"/>
    <w:rsid w:val="00F756F8"/>
    <w:rsid w:val="00FB54A6"/>
    <w:rsid w:val="00FD3FE2"/>
    <w:rsid w:val="00FF2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CommentReference">
    <w:name w:val="annotation reference"/>
    <w:basedOn w:val="DefaultParagraphFont"/>
    <w:semiHidden/>
    <w:rsid w:val="00FF277A"/>
    <w:rPr>
      <w:sz w:val="16"/>
      <w:szCs w:val="16"/>
    </w:rPr>
  </w:style>
  <w:style w:type="paragraph" w:styleId="CommentText">
    <w:name w:val="annotation text"/>
    <w:basedOn w:val="Normal"/>
    <w:semiHidden/>
    <w:rsid w:val="00FF277A"/>
    <w:rPr>
      <w:sz w:val="20"/>
      <w:szCs w:val="20"/>
    </w:rPr>
  </w:style>
  <w:style w:type="paragraph" w:styleId="CommentSubject">
    <w:name w:val="annotation subject"/>
    <w:basedOn w:val="CommentText"/>
    <w:next w:val="CommentText"/>
    <w:semiHidden/>
    <w:rsid w:val="00FF277A"/>
    <w:rPr>
      <w:b/>
      <w:bCs/>
    </w:rPr>
  </w:style>
  <w:style w:type="paragraph" w:customStyle="1" w:styleId="clausenumber">
    <w:name w:val="clause number"/>
    <w:basedOn w:val="Normal"/>
    <w:rsid w:val="0081615E"/>
    <w:pPr>
      <w:numPr>
        <w:numId w:val="19"/>
      </w:numPr>
      <w:jc w:val="both"/>
    </w:pPr>
    <w:rPr>
      <w:szCs w:val="20"/>
    </w:rPr>
  </w:style>
  <w:style w:type="character" w:styleId="Hyperlink">
    <w:name w:val="Hyperlink"/>
    <w:basedOn w:val="DefaultParagraphFont"/>
    <w:rsid w:val="00EE0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CodeAbusDRAB09Exp.pdf" TargetMode="External"/><Relationship Id="rId3" Type="http://schemas.openxmlformats.org/officeDocument/2006/relationships/settings" Target="settings.xml"/><Relationship Id="rId7" Type="http://schemas.openxmlformats.org/officeDocument/2006/relationships/hyperlink" Target="Attachments/CCodeAbusDRAB0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2350</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2763</CharactersWithSpaces>
  <SharedDoc>false</SharedDoc>
  <HyperlinkBase>https://www.cabinet.qld.gov.au/documents/2009/Nov/Criminal Code Amendment Bill 2009/</HyperlinkBase>
  <HLinks>
    <vt:vector size="12" baseType="variant">
      <vt:variant>
        <vt:i4>6684773</vt:i4>
      </vt:variant>
      <vt:variant>
        <vt:i4>3</vt:i4>
      </vt:variant>
      <vt:variant>
        <vt:i4>0</vt:i4>
      </vt:variant>
      <vt:variant>
        <vt:i4>5</vt:i4>
      </vt:variant>
      <vt:variant>
        <vt:lpwstr>Attachments/CCodeAbusDRAB09Exp.pdf</vt:lpwstr>
      </vt:variant>
      <vt:variant>
        <vt:lpwstr/>
      </vt:variant>
      <vt:variant>
        <vt:i4>3080231</vt:i4>
      </vt:variant>
      <vt:variant>
        <vt:i4>0</vt:i4>
      </vt:variant>
      <vt:variant>
        <vt:i4>0</vt:i4>
      </vt:variant>
      <vt:variant>
        <vt:i4>5</vt:i4>
      </vt:variant>
      <vt:variant>
        <vt:lpwstr>Attachments/CCodeAbusDRAB09.pdf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abusive,domestic,accident,provocation</cp:keywords>
  <dc:description/>
  <cp:lastModifiedBy/>
  <cp:revision>2</cp:revision>
  <cp:lastPrinted>2010-05-11T00:33:00Z</cp:lastPrinted>
  <dcterms:created xsi:type="dcterms:W3CDTF">2017-10-24T22:02:00Z</dcterms:created>
  <dcterms:modified xsi:type="dcterms:W3CDTF">2018-03-06T00:58:00Z</dcterms:modified>
  <cp:category>Crime,Legislation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-2084477450</vt:i4>
  </property>
  <property fmtid="{D5CDD505-2E9C-101B-9397-08002B2CF9AE}" pid="3" name="_NewReviewCycle">
    <vt:lpwstr/>
  </property>
  <property fmtid="{D5CDD505-2E9C-101B-9397-08002B2CF9AE}" pid="4" name="_PreviousAdHocReviewCycleID">
    <vt:i4>162485411</vt:i4>
  </property>
  <property fmtid="{D5CDD505-2E9C-101B-9397-08002B2CF9AE}" pid="5" name="_ReviewingToolsShownOnce">
    <vt:lpwstr/>
  </property>
</Properties>
</file>